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5801E" w14:textId="6E24239A" w:rsidR="002654FB" w:rsidRDefault="002654FB" w:rsidP="002654FB">
      <w:pPr>
        <w:spacing w:before="100" w:beforeAutospacing="1" w:after="100" w:afterAutospacing="1" w:line="240" w:lineRule="auto"/>
        <w:outlineLvl w:val="0"/>
        <w:rPr>
          <w:rFonts w:ascii="Calibri" w:eastAsia="Times New Roman" w:hAnsi="Calibri" w:cs="Calibri"/>
          <w:b/>
          <w:bCs/>
          <w:color w:val="000000"/>
          <w:kern w:val="36"/>
          <w:sz w:val="36"/>
          <w:szCs w:val="36"/>
          <w:lang w:eastAsia="nl-NL"/>
          <w14:ligatures w14:val="none"/>
        </w:rPr>
      </w:pPr>
      <w:r w:rsidRPr="002654FB">
        <w:rPr>
          <w:rFonts w:ascii="Calibri" w:eastAsia="Times New Roman" w:hAnsi="Calibri" w:cs="Calibri"/>
          <w:b/>
          <w:bCs/>
          <w:color w:val="000000"/>
          <w:kern w:val="36"/>
          <w:sz w:val="36"/>
          <w:szCs w:val="36"/>
          <w:lang w:eastAsia="nl-NL"/>
          <w14:ligatures w14:val="none"/>
        </w:rPr>
        <w:t>Kamerbrief over versterken van het stelsel van openbare bibliotheken</w:t>
      </w:r>
      <w:r w:rsidR="00A32BC9">
        <w:rPr>
          <w:rFonts w:ascii="Calibri" w:eastAsia="Times New Roman" w:hAnsi="Calibri" w:cs="Calibri"/>
          <w:b/>
          <w:bCs/>
          <w:color w:val="000000"/>
          <w:kern w:val="36"/>
          <w:sz w:val="36"/>
          <w:szCs w:val="36"/>
          <w:lang w:eastAsia="nl-NL"/>
          <w14:ligatures w14:val="none"/>
        </w:rPr>
        <w:t xml:space="preserve"> (</w:t>
      </w:r>
      <w:r w:rsidR="00A32BC9">
        <w:t xml:space="preserve">staatssecretaris van Onderwijs, Cultuur en Wetenschap, </w:t>
      </w:r>
      <w:proofErr w:type="spellStart"/>
      <w:r w:rsidR="00A32BC9">
        <w:t>Gunay</w:t>
      </w:r>
      <w:proofErr w:type="spellEnd"/>
      <w:r w:rsidR="00A32BC9">
        <w:t xml:space="preserve"> Uslu</w:t>
      </w:r>
      <w:r w:rsidR="00A32BC9">
        <w:t>)</w:t>
      </w:r>
    </w:p>
    <w:p w14:paraId="5038296C" w14:textId="3F2AF470" w:rsidR="00C777BF" w:rsidRDefault="002654FB" w:rsidP="0020167E">
      <w:pPr>
        <w:pStyle w:val="Lijstalinea"/>
        <w:numPr>
          <w:ilvl w:val="0"/>
          <w:numId w:val="1"/>
        </w:numPr>
      </w:pPr>
      <w:r>
        <w:t>maatschappelijke en culturele impact van een goed toegeruste bibliotheek op</w:t>
      </w:r>
      <w:r>
        <w:t xml:space="preserve"> stad/wijk is groot. </w:t>
      </w:r>
      <w:r w:rsidRPr="002654FB">
        <w:t>Om die reden zijn de bibliotheken in een latere fase van de pandemie aangemerkt als essentiële voorzieningen.</w:t>
      </w:r>
    </w:p>
    <w:p w14:paraId="2284F12B" w14:textId="77777777" w:rsidR="002654FB" w:rsidRDefault="002654FB" w:rsidP="0020167E">
      <w:pPr>
        <w:pStyle w:val="Lijstalinea"/>
        <w:numPr>
          <w:ilvl w:val="0"/>
          <w:numId w:val="1"/>
        </w:numPr>
      </w:pPr>
      <w:r>
        <w:t xml:space="preserve">De vijf maatschappelijke functies zijn: </w:t>
      </w:r>
    </w:p>
    <w:p w14:paraId="64DAA53D" w14:textId="77777777" w:rsidR="002654FB" w:rsidRDefault="002654FB" w:rsidP="002654FB">
      <w:pPr>
        <w:pStyle w:val="Lijstalinea"/>
        <w:numPr>
          <w:ilvl w:val="1"/>
          <w:numId w:val="1"/>
        </w:numPr>
      </w:pPr>
      <w:r>
        <w:t xml:space="preserve">ter beschikking stellen van kennis en informatie; </w:t>
      </w:r>
    </w:p>
    <w:p w14:paraId="6FCCBB8B" w14:textId="77777777" w:rsidR="002654FB" w:rsidRDefault="002654FB" w:rsidP="002654FB">
      <w:pPr>
        <w:pStyle w:val="Lijstalinea"/>
        <w:numPr>
          <w:ilvl w:val="1"/>
          <w:numId w:val="1"/>
        </w:numPr>
      </w:pPr>
      <w:r>
        <w:t xml:space="preserve">bieden van mogelijkheden tot ontwikkeling en educatie; </w:t>
      </w:r>
    </w:p>
    <w:p w14:paraId="6DBA8727" w14:textId="77777777" w:rsidR="002654FB" w:rsidRDefault="002654FB" w:rsidP="002654FB">
      <w:pPr>
        <w:pStyle w:val="Lijstalinea"/>
        <w:numPr>
          <w:ilvl w:val="1"/>
          <w:numId w:val="1"/>
        </w:numPr>
      </w:pPr>
      <w:r>
        <w:t xml:space="preserve">bevorderen van lezen, laten kennismaken met literatuur; </w:t>
      </w:r>
    </w:p>
    <w:p w14:paraId="50F7BE4B" w14:textId="77777777" w:rsidR="002654FB" w:rsidRDefault="002654FB" w:rsidP="002654FB">
      <w:pPr>
        <w:pStyle w:val="Lijstalinea"/>
        <w:numPr>
          <w:ilvl w:val="1"/>
          <w:numId w:val="1"/>
        </w:numPr>
      </w:pPr>
      <w:r>
        <w:t xml:space="preserve">organiseren van ontmoeting en debat; </w:t>
      </w:r>
    </w:p>
    <w:p w14:paraId="364A1528" w14:textId="732F7AD4" w:rsidR="002654FB" w:rsidRDefault="002654FB" w:rsidP="002654FB">
      <w:pPr>
        <w:pStyle w:val="Lijstalinea"/>
        <w:numPr>
          <w:ilvl w:val="1"/>
          <w:numId w:val="1"/>
        </w:numPr>
      </w:pPr>
      <w:r>
        <w:t>laten kennismaken met kunst en cultuur.</w:t>
      </w:r>
    </w:p>
    <w:p w14:paraId="207CED49" w14:textId="4103CF4B" w:rsidR="002654FB" w:rsidRDefault="002654FB" w:rsidP="002654FB">
      <w:pPr>
        <w:pStyle w:val="Lijstalinea"/>
        <w:numPr>
          <w:ilvl w:val="0"/>
          <w:numId w:val="1"/>
        </w:numPr>
      </w:pPr>
      <w:r>
        <w:t xml:space="preserve">Het uitgangspunt van de </w:t>
      </w:r>
      <w:proofErr w:type="spellStart"/>
      <w:r>
        <w:t>Wsob</w:t>
      </w:r>
      <w:proofErr w:type="spellEnd"/>
      <w:r>
        <w:t xml:space="preserve"> is dat alle inwoners van Nederland binnen een redelijke afstand toegang hebben tot een volwaardige openbare bibliotheek</w:t>
      </w:r>
    </w:p>
    <w:p w14:paraId="2D8F415E" w14:textId="77777777" w:rsidR="002654FB" w:rsidRDefault="002654FB" w:rsidP="002654FB">
      <w:pPr>
        <w:pStyle w:val="Lijstalinea"/>
      </w:pPr>
    </w:p>
    <w:p w14:paraId="77B0BCD3" w14:textId="750624FA" w:rsidR="002654FB" w:rsidRDefault="002654FB" w:rsidP="002654FB">
      <w:pPr>
        <w:rPr>
          <w:b/>
          <w:bCs/>
          <w:sz w:val="28"/>
          <w:szCs w:val="28"/>
        </w:rPr>
      </w:pPr>
      <w:r w:rsidRPr="002654FB">
        <w:rPr>
          <w:b/>
          <w:bCs/>
          <w:sz w:val="28"/>
          <w:szCs w:val="28"/>
        </w:rPr>
        <w:t>Een toekomstgerichte bibliotheekvoorziening in elke gemeente</w:t>
      </w:r>
    </w:p>
    <w:p w14:paraId="2AAB7FBE" w14:textId="0BAD1293" w:rsidR="00C258AB" w:rsidRPr="00C258AB" w:rsidRDefault="00C258AB" w:rsidP="00C258AB">
      <w:pPr>
        <w:pStyle w:val="Lijstalinea"/>
        <w:numPr>
          <w:ilvl w:val="0"/>
          <w:numId w:val="2"/>
        </w:numPr>
        <w:rPr>
          <w:b/>
          <w:bCs/>
          <w:sz w:val="28"/>
          <w:szCs w:val="28"/>
        </w:rPr>
      </w:pPr>
      <w:r>
        <w:t>Een goed toegeruste openbare bibliotheek draagt bij aan de persoonlijke ontwikkeling en versterkt het sociale weefsel van de lokale gemeenschap.</w:t>
      </w:r>
      <w:r w:rsidRPr="00C258AB">
        <w:t xml:space="preserve"> </w:t>
      </w:r>
      <w:r>
        <w:t>De evaluatie van de motie Asscher over het behoud en de terugkomst van bibliotheken in kleine kernen laat dat zien</w:t>
      </w:r>
      <w:r>
        <w:t>. (</w:t>
      </w:r>
      <w:r>
        <w:t>Tweede Kamer 2021-2022, 33846, nr. 69.</w:t>
      </w:r>
      <w:r>
        <w:t>)</w:t>
      </w:r>
    </w:p>
    <w:p w14:paraId="2892C007" w14:textId="579D676E" w:rsidR="00C258AB" w:rsidRPr="00C258AB" w:rsidRDefault="00C258AB" w:rsidP="00C258AB">
      <w:pPr>
        <w:pStyle w:val="Lijstalinea"/>
        <w:numPr>
          <w:ilvl w:val="0"/>
          <w:numId w:val="2"/>
        </w:numPr>
        <w:rPr>
          <w:b/>
          <w:bCs/>
          <w:sz w:val="28"/>
          <w:szCs w:val="28"/>
        </w:rPr>
      </w:pPr>
      <w:r>
        <w:t>Bibliotheken bieden als plek van informatie, educatie en cultuur laagdrempelig toegang tot kunst en cultuur. Vaak zijn zij het lokale culturele knooppunt. Met hun brede bereik dragen zij bij aan mijn prioriteit ‘cultuur is overal en voor iedereen</w:t>
      </w:r>
    </w:p>
    <w:p w14:paraId="4C74B994" w14:textId="2E1FCA89" w:rsidR="00C258AB" w:rsidRPr="00C258AB" w:rsidRDefault="00C258AB" w:rsidP="00C258AB">
      <w:pPr>
        <w:pStyle w:val="Lijstalinea"/>
        <w:numPr>
          <w:ilvl w:val="0"/>
          <w:numId w:val="2"/>
        </w:numPr>
        <w:rPr>
          <w:b/>
          <w:bCs/>
          <w:sz w:val="28"/>
          <w:szCs w:val="28"/>
        </w:rPr>
      </w:pPr>
      <w:r>
        <w:t>Bibliotheken hebben naast een culturele functie ook een belangrijke maatschappelijke functie op tal van thema’s zoals leven lang ontwikkelen, laaggeletterdheid, digitale toegankelijkheid van de overheid via Informatiepunten Digitale Overheid (IDO), tegengaan armoede en schulden en het bevorderen van kansengelijkheid</w:t>
      </w:r>
    </w:p>
    <w:p w14:paraId="0967EE08" w14:textId="3841263D" w:rsidR="00C258AB" w:rsidRPr="00640F7B" w:rsidRDefault="00C258AB" w:rsidP="00125760">
      <w:pPr>
        <w:pStyle w:val="Lijstalinea"/>
        <w:numPr>
          <w:ilvl w:val="0"/>
          <w:numId w:val="2"/>
        </w:numPr>
        <w:rPr>
          <w:b/>
          <w:bCs/>
          <w:sz w:val="28"/>
          <w:szCs w:val="28"/>
        </w:rPr>
      </w:pPr>
      <w:r>
        <w:t xml:space="preserve">De fysieke bibliotheek is niet meer voor iedereen binnen een redelijke afstand bereikbaar; </w:t>
      </w:r>
      <w:r>
        <w:sym w:font="Symbol" w:char="F0B7"/>
      </w:r>
      <w:r>
        <w:t xml:space="preserve"> Als toekomstperspectief </w:t>
      </w:r>
      <w:r>
        <w:t xml:space="preserve">dient </w:t>
      </w:r>
      <w:r>
        <w:t xml:space="preserve">iedere inwoner van Nederland binnen een redelijke afstand toegang </w:t>
      </w:r>
      <w:r>
        <w:t>te hebben</w:t>
      </w:r>
      <w:r>
        <w:t xml:space="preserve"> tot een volwaardige openbare bibliotheekvoorziening </w:t>
      </w:r>
    </w:p>
    <w:p w14:paraId="1DB408DA" w14:textId="7BA91B0B" w:rsidR="00640F7B" w:rsidRPr="00C258AB" w:rsidRDefault="00640F7B" w:rsidP="00125760">
      <w:pPr>
        <w:pStyle w:val="Lijstalinea"/>
        <w:numPr>
          <w:ilvl w:val="0"/>
          <w:numId w:val="2"/>
        </w:numPr>
        <w:rPr>
          <w:b/>
          <w:bCs/>
          <w:sz w:val="28"/>
          <w:szCs w:val="28"/>
        </w:rPr>
      </w:pPr>
      <w:r>
        <w:t>een goed bereikbare openbare bibliotheek die de hele breedte aan maatschappelijke bibliotheekfuncties aanbiedt en daarmee van belang is voor de lokale gemeenschap. Het is een fysieke plek met een relevante digitale aanwezigheid en een robuuste bestuurlijke en financiële verankering.</w:t>
      </w:r>
    </w:p>
    <w:p w14:paraId="13EEF27C" w14:textId="77777777" w:rsidR="00C258AB" w:rsidRDefault="00C258AB" w:rsidP="00C258AB">
      <w:r w:rsidRPr="00C258AB">
        <w:rPr>
          <w:b/>
          <w:bCs/>
          <w:sz w:val="28"/>
          <w:szCs w:val="28"/>
        </w:rPr>
        <w:t>Overzicht van de maatregelen</w:t>
      </w:r>
      <w:r>
        <w:t xml:space="preserve"> </w:t>
      </w:r>
      <w:r>
        <w:sym w:font="Symbol" w:char="F0B7"/>
      </w:r>
      <w:r>
        <w:t xml:space="preserve"> </w:t>
      </w:r>
    </w:p>
    <w:p w14:paraId="1C1F5665" w14:textId="77777777" w:rsidR="00C258AB" w:rsidRPr="00C258AB" w:rsidRDefault="00C258AB" w:rsidP="00C258AB">
      <w:pPr>
        <w:pStyle w:val="Lijstalinea"/>
        <w:numPr>
          <w:ilvl w:val="0"/>
          <w:numId w:val="3"/>
        </w:numPr>
        <w:rPr>
          <w:b/>
          <w:bCs/>
          <w:sz w:val="28"/>
          <w:szCs w:val="28"/>
        </w:rPr>
      </w:pPr>
      <w:r>
        <w:t xml:space="preserve">Voor de korte termijn is het noodzakelijk het netwerk van fysieke bibliotheken te repareren en te versterken. Kwantitatief en kwalitatief. </w:t>
      </w:r>
    </w:p>
    <w:p w14:paraId="7DA69B4D" w14:textId="77777777" w:rsidR="00C258AB" w:rsidRDefault="00C258AB" w:rsidP="00560DBE">
      <w:pPr>
        <w:pStyle w:val="Lijstalinea"/>
        <w:numPr>
          <w:ilvl w:val="0"/>
          <w:numId w:val="3"/>
        </w:numPr>
        <w:rPr>
          <w:b/>
          <w:bCs/>
          <w:sz w:val="28"/>
          <w:szCs w:val="28"/>
        </w:rPr>
      </w:pPr>
      <w:r>
        <w:t>Vervolgens is het nodig dat de bereikbaarheid van de fysieke bibliotheek voor de langere termijn verzekerd blijft. Dat kan bereikt worden door een wettelijke zorgplicht voor gemeenten;</w:t>
      </w:r>
    </w:p>
    <w:p w14:paraId="3F1BCEEB" w14:textId="4DC89ACA" w:rsidR="002654FB" w:rsidRDefault="00C258AB" w:rsidP="00560DBE">
      <w:pPr>
        <w:pStyle w:val="Lijstalinea"/>
        <w:numPr>
          <w:ilvl w:val="0"/>
          <w:numId w:val="3"/>
        </w:numPr>
        <w:rPr>
          <w:b/>
          <w:bCs/>
          <w:sz w:val="28"/>
          <w:szCs w:val="28"/>
        </w:rPr>
      </w:pPr>
      <w:r>
        <w:t xml:space="preserve">De openbare bibliotheek is met haar collecties en activiteiten al vroeg in het leven van kinderen aanwezig. Goed gekozen bibliotheekactiviteiten in de voorschoolse periode </w:t>
      </w:r>
      <w:r>
        <w:lastRenderedPageBreak/>
        <w:t>stimuleren het lezen en helpen bij het voorkomen van onderwijsachterstanden. Om die reden is de openbare bibliotheek vanaf 1 juli 2022 overal gratis toegankelijk voor de jeugd. Met het versterken van het netwerk van openbare bibliotheken zal ook de relatie tussen de bibliotheek en de school worden versterkt en verder ingevuld</w:t>
      </w:r>
      <w:r>
        <w:t>.</w:t>
      </w:r>
      <w:r w:rsidR="002654FB" w:rsidRPr="00C258AB">
        <w:rPr>
          <w:b/>
          <w:bCs/>
          <w:sz w:val="28"/>
          <w:szCs w:val="28"/>
        </w:rPr>
        <w:tab/>
      </w:r>
    </w:p>
    <w:p w14:paraId="37C32ABA" w14:textId="77777777" w:rsidR="00640F7B" w:rsidRDefault="00640F7B" w:rsidP="00640F7B">
      <w:pPr>
        <w:rPr>
          <w:b/>
          <w:bCs/>
          <w:sz w:val="28"/>
          <w:szCs w:val="28"/>
        </w:rPr>
      </w:pPr>
    </w:p>
    <w:p w14:paraId="34B8C12B" w14:textId="0C75490E" w:rsidR="00640F7B" w:rsidRPr="00FC7828" w:rsidRDefault="00640F7B" w:rsidP="00FC7828">
      <w:pPr>
        <w:rPr>
          <w:sz w:val="28"/>
          <w:szCs w:val="28"/>
        </w:rPr>
      </w:pPr>
      <w:r w:rsidRPr="00FC7828">
        <w:t xml:space="preserve">Maatregelen </w:t>
      </w:r>
      <w:r w:rsidR="00FC7828" w:rsidRPr="00FC7828">
        <w:t>op de</w:t>
      </w:r>
      <w:r w:rsidRPr="00FC7828">
        <w:t xml:space="preserve"> korte termijn vanaf 2023</w:t>
      </w:r>
      <w:r w:rsidRPr="00FC7828">
        <w:t xml:space="preserve">; </w:t>
      </w:r>
    </w:p>
    <w:p w14:paraId="4D8E19D6" w14:textId="48A9CA0A" w:rsidR="00640F7B" w:rsidRPr="00640F7B" w:rsidRDefault="00640F7B" w:rsidP="00640F7B">
      <w:pPr>
        <w:pStyle w:val="Lijstalinea"/>
        <w:numPr>
          <w:ilvl w:val="1"/>
          <w:numId w:val="4"/>
        </w:numPr>
        <w:rPr>
          <w:b/>
          <w:bCs/>
          <w:sz w:val="28"/>
          <w:szCs w:val="28"/>
        </w:rPr>
      </w:pPr>
      <w:r>
        <w:t>g</w:t>
      </w:r>
      <w:r>
        <w:t>erichte versterking en reparatie van het fysieke bibliotheeknetwerk De teruggang in het aantal vestigingen heeft ertoe geleid dat bibliotheken verdwenen zijn uit wijken en regio’s met grote maatschappelijke opgaven. Het is van maatschappelijk belang dat de bibliotheken op die plekken kunnen terugkomen en kunnen worden verbeterd.</w:t>
      </w:r>
    </w:p>
    <w:p w14:paraId="5E8E6E4F" w14:textId="3F430F19" w:rsidR="00640F7B" w:rsidRPr="00640F7B" w:rsidRDefault="00640F7B" w:rsidP="00640F7B">
      <w:pPr>
        <w:pStyle w:val="Lijstalinea"/>
        <w:numPr>
          <w:ilvl w:val="1"/>
          <w:numId w:val="4"/>
        </w:numPr>
        <w:rPr>
          <w:b/>
          <w:bCs/>
          <w:sz w:val="28"/>
          <w:szCs w:val="28"/>
          <w:u w:val="single"/>
        </w:rPr>
      </w:pPr>
      <w:r>
        <w:t xml:space="preserve">het beschikbare budget inzetten waar dit het hardst nodig is en het meeste maatschappelijke effect kan hebben. De nadruk van de maatregelen voor de korte termijn ligt daarom op gemeenten zonder fysieke bibliotheek </w:t>
      </w:r>
      <w:r w:rsidRPr="00640F7B">
        <w:rPr>
          <w:u w:val="single"/>
        </w:rPr>
        <w:t>en op de terugkomst en verbetering van de bibliotheek in wijken met een grote maatschappelijke opgave en in niet-stedelijke regio’s waar de afstand tot de bibliotheek te groot is geworden.</w:t>
      </w:r>
    </w:p>
    <w:p w14:paraId="558EACDC" w14:textId="0EC78893" w:rsidR="00640F7B" w:rsidRPr="00640F7B" w:rsidRDefault="00640F7B" w:rsidP="00640F7B">
      <w:pPr>
        <w:pStyle w:val="Lijstalinea"/>
        <w:numPr>
          <w:ilvl w:val="1"/>
          <w:numId w:val="4"/>
        </w:numPr>
        <w:rPr>
          <w:b/>
          <w:bCs/>
          <w:sz w:val="28"/>
          <w:szCs w:val="28"/>
          <w:u w:val="single"/>
        </w:rPr>
      </w:pPr>
      <w:r>
        <w:t>In 2023 en 2024 worden de totstandkoming en verbetering van vestigingen gericht gestimuleerd via een specifieke uitkering (</w:t>
      </w:r>
      <w:proofErr w:type="spellStart"/>
      <w:r>
        <w:t>Spuk</w:t>
      </w:r>
      <w:proofErr w:type="spellEnd"/>
      <w:r>
        <w:t>) aan gemeenten.</w:t>
      </w:r>
      <w:r>
        <w:t xml:space="preserve"> </w:t>
      </w:r>
      <w:r>
        <w:t xml:space="preserve">Door gebruik te maken van de </w:t>
      </w:r>
      <w:proofErr w:type="spellStart"/>
      <w:r>
        <w:t>Spuk</w:t>
      </w:r>
      <w:proofErr w:type="spellEnd"/>
      <w:r>
        <w:t xml:space="preserve"> kunnen gemeenten zich voorbereiden op de invoering van de wettelijke zorgplicht die vanaf 2025 </w:t>
      </w:r>
      <w:r>
        <w:t>ingaat.</w:t>
      </w:r>
    </w:p>
    <w:p w14:paraId="02263025" w14:textId="15EB3220" w:rsidR="00640F7B" w:rsidRPr="00640F7B" w:rsidRDefault="00640F7B" w:rsidP="00640F7B">
      <w:pPr>
        <w:pStyle w:val="Lijstalinea"/>
        <w:numPr>
          <w:ilvl w:val="1"/>
          <w:numId w:val="4"/>
        </w:numPr>
        <w:rPr>
          <w:b/>
          <w:bCs/>
          <w:sz w:val="28"/>
          <w:szCs w:val="28"/>
          <w:u w:val="single"/>
        </w:rPr>
      </w:pPr>
      <w:r>
        <w:t xml:space="preserve">Van gemeenten </w:t>
      </w:r>
      <w:r>
        <w:t xml:space="preserve">wordt </w:t>
      </w:r>
      <w:r>
        <w:t>cofinanciering van indicatief 20%</w:t>
      </w:r>
      <w:r>
        <w:t xml:space="preserve"> verwacht</w:t>
      </w:r>
      <w:r>
        <w:t>. Uit ervaringen met de tijdelijke impuls voor bibliotheken in kleine kernen (motie Asscher) is gebleken dat gemeenten bereid zijn tot cofinanciering, als hiermee een reëel maatschappelijk probleem wordt aangepakt.</w:t>
      </w:r>
    </w:p>
    <w:p w14:paraId="69CE980B" w14:textId="038CFC80" w:rsidR="00640F7B" w:rsidRPr="00640F7B" w:rsidRDefault="00640F7B" w:rsidP="00640F7B">
      <w:pPr>
        <w:pStyle w:val="Lijstalinea"/>
        <w:numPr>
          <w:ilvl w:val="1"/>
          <w:numId w:val="4"/>
        </w:numPr>
        <w:rPr>
          <w:b/>
          <w:bCs/>
          <w:sz w:val="28"/>
          <w:szCs w:val="28"/>
          <w:u w:val="single"/>
        </w:rPr>
      </w:pPr>
      <w:r>
        <w:t>aansluiten bij verwante beleidsterreinen</w:t>
      </w:r>
      <w:r>
        <w:t xml:space="preserve"> zoals;</w:t>
      </w:r>
    </w:p>
    <w:p w14:paraId="776CBB36" w14:textId="77777777" w:rsidR="00640F7B" w:rsidRPr="00640F7B" w:rsidRDefault="00640F7B" w:rsidP="00640F7B">
      <w:pPr>
        <w:pStyle w:val="Lijstalinea"/>
        <w:numPr>
          <w:ilvl w:val="2"/>
          <w:numId w:val="4"/>
        </w:numPr>
        <w:rPr>
          <w:b/>
          <w:bCs/>
          <w:sz w:val="28"/>
          <w:szCs w:val="28"/>
          <w:u w:val="single"/>
        </w:rPr>
      </w:pPr>
      <w:r>
        <w:t>p</w:t>
      </w:r>
      <w:r>
        <w:t xml:space="preserve">rogramma Leefbaarheid en Veiligheid, </w:t>
      </w:r>
    </w:p>
    <w:p w14:paraId="2217FEC3" w14:textId="77777777" w:rsidR="00640F7B" w:rsidRPr="00640F7B" w:rsidRDefault="00640F7B" w:rsidP="00640F7B">
      <w:pPr>
        <w:pStyle w:val="Lijstalinea"/>
        <w:numPr>
          <w:ilvl w:val="2"/>
          <w:numId w:val="4"/>
        </w:numPr>
        <w:rPr>
          <w:b/>
          <w:bCs/>
          <w:sz w:val="28"/>
          <w:szCs w:val="28"/>
          <w:u w:val="single"/>
        </w:rPr>
      </w:pPr>
      <w:r>
        <w:t xml:space="preserve">het Masterplan basisvaardigheden, </w:t>
      </w:r>
    </w:p>
    <w:p w14:paraId="79FFEF28" w14:textId="77777777" w:rsidR="00640F7B" w:rsidRPr="00640F7B" w:rsidRDefault="00640F7B" w:rsidP="00640F7B">
      <w:pPr>
        <w:pStyle w:val="Lijstalinea"/>
        <w:numPr>
          <w:ilvl w:val="2"/>
          <w:numId w:val="4"/>
        </w:numPr>
        <w:rPr>
          <w:b/>
          <w:bCs/>
          <w:sz w:val="28"/>
          <w:szCs w:val="28"/>
          <w:u w:val="single"/>
        </w:rPr>
      </w:pPr>
      <w:r>
        <w:t>de aanpak van geldzorgen, armoede en schulden,</w:t>
      </w:r>
    </w:p>
    <w:p w14:paraId="075B466F" w14:textId="549AE1C7" w:rsidR="00FC7828" w:rsidRDefault="00640F7B" w:rsidP="008464EF">
      <w:pPr>
        <w:pStyle w:val="Lijstalinea"/>
        <w:numPr>
          <w:ilvl w:val="2"/>
          <w:numId w:val="4"/>
        </w:numPr>
      </w:pPr>
      <w:r>
        <w:t>de aanpak van laaggeletterdheid en het onderwijsachterstandenbeleid.</w:t>
      </w:r>
    </w:p>
    <w:p w14:paraId="01829A2E" w14:textId="77777777" w:rsidR="00FC7828" w:rsidRDefault="00FC7828" w:rsidP="00FC7828">
      <w:r>
        <w:t>De langere termijn vanaf 2025</w:t>
      </w:r>
      <w:r>
        <w:t>;</w:t>
      </w:r>
    </w:p>
    <w:p w14:paraId="167040D4" w14:textId="1DB0D39D" w:rsidR="00FC7828" w:rsidRPr="00FC7828" w:rsidRDefault="00FC7828" w:rsidP="00C94339">
      <w:pPr>
        <w:pStyle w:val="Lijstalinea"/>
        <w:numPr>
          <w:ilvl w:val="0"/>
          <w:numId w:val="5"/>
        </w:numPr>
        <w:rPr>
          <w:b/>
          <w:bCs/>
          <w:sz w:val="28"/>
          <w:szCs w:val="28"/>
          <w:u w:val="single"/>
        </w:rPr>
      </w:pPr>
      <w:r>
        <w:t>Toegang tot de bibliotheek gewaarborgd door een zorgplicht voor gemeenten en provincies</w:t>
      </w:r>
      <w:r>
        <w:t xml:space="preserve">. </w:t>
      </w:r>
      <w:r>
        <w:t xml:space="preserve">Na afloop van de periode van reparatie van het netwerk worden de bereikbaarheid en toegankelijkheid van de bibliotheek in gemeenten structureel geborgd via een wijziging van de </w:t>
      </w:r>
      <w:proofErr w:type="spellStart"/>
      <w:r>
        <w:t>Wsob</w:t>
      </w:r>
      <w:proofErr w:type="spellEnd"/>
      <w:r>
        <w:t xml:space="preserve">. De </w:t>
      </w:r>
      <w:proofErr w:type="spellStart"/>
      <w:r>
        <w:t>Wsob</w:t>
      </w:r>
      <w:proofErr w:type="spellEnd"/>
      <w:r>
        <w:t xml:space="preserve"> beschrijft de taken, rollen en verantwoordelijkheden voor overheden en bibliotheken</w:t>
      </w:r>
    </w:p>
    <w:p w14:paraId="2F6A4008" w14:textId="1CF5E0CB" w:rsidR="00FC7828" w:rsidRPr="00A32BC9" w:rsidRDefault="00FC7828" w:rsidP="00C94339">
      <w:pPr>
        <w:pStyle w:val="Lijstalinea"/>
        <w:numPr>
          <w:ilvl w:val="0"/>
          <w:numId w:val="5"/>
        </w:numPr>
        <w:rPr>
          <w:b/>
          <w:bCs/>
          <w:sz w:val="28"/>
          <w:szCs w:val="28"/>
          <w:u w:val="single"/>
        </w:rPr>
      </w:pPr>
      <w:r>
        <w:t xml:space="preserve">De taken voor gemeenten en provincies zijn geformuleerd als ‘bevorderingstaak. Het is </w:t>
      </w:r>
      <w:r>
        <w:t>het</w:t>
      </w:r>
      <w:r>
        <w:t xml:space="preserve"> voornemen de huidige ‘bevorderingstaak’ om te zetten in een zorgplicht voor gemeenten en provincies.</w:t>
      </w:r>
      <w:r>
        <w:t xml:space="preserve"> </w:t>
      </w:r>
      <w:r>
        <w:t>De planning is erop gericht dat deze wetswijziging in 2025 in werking treedt</w:t>
      </w:r>
    </w:p>
    <w:p w14:paraId="1728906C" w14:textId="77777777" w:rsidR="00A32BC9" w:rsidRDefault="00A32BC9" w:rsidP="00A32BC9">
      <w:pPr>
        <w:rPr>
          <w:b/>
          <w:bCs/>
          <w:sz w:val="28"/>
          <w:szCs w:val="28"/>
          <w:u w:val="single"/>
        </w:rPr>
      </w:pPr>
    </w:p>
    <w:p w14:paraId="12BA8543" w14:textId="77777777" w:rsidR="00A32BC9" w:rsidRDefault="00A32BC9" w:rsidP="00A32BC9">
      <w:pPr>
        <w:rPr>
          <w:b/>
          <w:bCs/>
          <w:sz w:val="28"/>
          <w:szCs w:val="28"/>
          <w:u w:val="single"/>
        </w:rPr>
      </w:pPr>
    </w:p>
    <w:p w14:paraId="459742EF" w14:textId="77777777" w:rsidR="00A32BC9" w:rsidRDefault="00A32BC9" w:rsidP="00A32BC9">
      <w:pPr>
        <w:rPr>
          <w:b/>
          <w:bCs/>
          <w:sz w:val="28"/>
          <w:szCs w:val="28"/>
        </w:rPr>
      </w:pPr>
      <w:r w:rsidRPr="00A32BC9">
        <w:rPr>
          <w:b/>
          <w:bCs/>
          <w:sz w:val="28"/>
          <w:szCs w:val="28"/>
        </w:rPr>
        <w:lastRenderedPageBreak/>
        <w:t xml:space="preserve">Welke beleidsinstrumenten worden ingezet om deze doelen te realiseren? </w:t>
      </w:r>
    </w:p>
    <w:p w14:paraId="51E98AB3" w14:textId="77777777" w:rsidR="00A32BC9" w:rsidRPr="00A32BC9" w:rsidRDefault="00A32BC9" w:rsidP="00A32BC9">
      <w:pPr>
        <w:pStyle w:val="Lijstalinea"/>
        <w:numPr>
          <w:ilvl w:val="0"/>
          <w:numId w:val="8"/>
        </w:numPr>
        <w:rPr>
          <w:b/>
          <w:bCs/>
          <w:sz w:val="28"/>
          <w:szCs w:val="28"/>
          <w:u w:val="single"/>
        </w:rPr>
      </w:pPr>
      <w:r>
        <w:t xml:space="preserve">Bij </w:t>
      </w:r>
      <w:r>
        <w:t>de fysieke bibliotheekinfrastructuur</w:t>
      </w:r>
      <w:r>
        <w:t xml:space="preserve"> worden i</w:t>
      </w:r>
      <w:r>
        <w:t>n 2023 en 2024 de totstandkoming en verbetering van vestigingen op die plekken gericht gestimuleerd via een specifieke uitkering (</w:t>
      </w:r>
      <w:proofErr w:type="spellStart"/>
      <w:r>
        <w:t>Spuk</w:t>
      </w:r>
      <w:proofErr w:type="spellEnd"/>
      <w:r>
        <w:t xml:space="preserve">). Op basis van de </w:t>
      </w:r>
      <w:proofErr w:type="spellStart"/>
      <w:r>
        <w:t>Spuk</w:t>
      </w:r>
      <w:proofErr w:type="spellEnd"/>
      <w:r>
        <w:t xml:space="preserve"> kunnen onderwerpen als cofinanciering, prestatieafspraken en verantwoording worden geregeld. De impuls zal alleen worden ingezet in gemeenten die bereid zijn tot cofinanciering. </w:t>
      </w:r>
    </w:p>
    <w:p w14:paraId="78D21A8E" w14:textId="32AA5AD8" w:rsidR="00A32BC9" w:rsidRPr="00A32BC9" w:rsidRDefault="00A32BC9" w:rsidP="00A32BC9">
      <w:pPr>
        <w:pStyle w:val="Lijstalinea"/>
        <w:numPr>
          <w:ilvl w:val="0"/>
          <w:numId w:val="8"/>
        </w:numPr>
        <w:rPr>
          <w:b/>
          <w:bCs/>
          <w:sz w:val="28"/>
          <w:szCs w:val="28"/>
          <w:u w:val="single"/>
        </w:rPr>
      </w:pPr>
      <w:r>
        <w:t xml:space="preserve">Vanaf 2025: de bereikbaarheid en toegankelijkheid van de bibliotheek in gemeenten structureel borgen via een wijziging van de Bibliotheekwet. Deze wet beschrijft de rollen en verantwoordelijkheden voor overheden en bibliotheken. De taken voor gemeenten en provincies zijn geformuleerd als ‘bevorderingstaak’. Voornemen is de ‘bevorderingstaak’ om te zetten in een zorgplicht. Ook om de resultaten uit 2023 en 2024 te bestendigen. Met een zorgplicht kan worden bereikt dat het netwerk in stand en op niveau blijft. Bij de invoering van de wetswijziging worden de structurele middelen toegevoegd aan het gemeentefonds volgens een nader te bepalen verdeelmodel. Hiermee wordt het bedrag dat gemeenten voor bibliotheken ontvangen voor alle gemeenten gelijkwaardig, ongeacht of de gemeente op dit moment al een bibliotheekvoorziening heeft of dat deze in 2023/2024 via de </w:t>
      </w:r>
      <w:proofErr w:type="spellStart"/>
      <w:r>
        <w:t>Spuk</w:t>
      </w:r>
      <w:proofErr w:type="spellEnd"/>
      <w:r>
        <w:t xml:space="preserve"> wordt ontwikkeld.</w:t>
      </w:r>
    </w:p>
    <w:sectPr w:rsidR="00A32BC9" w:rsidRPr="00A32B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C3F31"/>
    <w:multiLevelType w:val="hybridMultilevel"/>
    <w:tmpl w:val="264CB8A8"/>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636"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753826"/>
    <w:multiLevelType w:val="hybridMultilevel"/>
    <w:tmpl w:val="865E4C4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200DA9"/>
    <w:multiLevelType w:val="hybridMultilevel"/>
    <w:tmpl w:val="CF8257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753C09"/>
    <w:multiLevelType w:val="hybridMultilevel"/>
    <w:tmpl w:val="AAAE57C0"/>
    <w:lvl w:ilvl="0" w:tplc="04130005">
      <w:start w:val="1"/>
      <w:numFmt w:val="bullet"/>
      <w:lvlText w:val=""/>
      <w:lvlJc w:val="left"/>
      <w:pPr>
        <w:ind w:left="1776" w:hanging="360"/>
      </w:pPr>
      <w:rPr>
        <w:rFonts w:ascii="Wingdings" w:hAnsi="Wingding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4B217A76"/>
    <w:multiLevelType w:val="hybridMultilevel"/>
    <w:tmpl w:val="89702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4205E2"/>
    <w:multiLevelType w:val="hybridMultilevel"/>
    <w:tmpl w:val="AF0AC924"/>
    <w:lvl w:ilvl="0" w:tplc="04130005">
      <w:start w:val="1"/>
      <w:numFmt w:val="bullet"/>
      <w:lvlText w:val=""/>
      <w:lvlJc w:val="left"/>
      <w:pPr>
        <w:ind w:left="2190" w:hanging="360"/>
      </w:pPr>
      <w:rPr>
        <w:rFonts w:ascii="Wingdings" w:hAnsi="Wingdings" w:hint="default"/>
      </w:rPr>
    </w:lvl>
    <w:lvl w:ilvl="1" w:tplc="04130003" w:tentative="1">
      <w:start w:val="1"/>
      <w:numFmt w:val="bullet"/>
      <w:lvlText w:val="o"/>
      <w:lvlJc w:val="left"/>
      <w:pPr>
        <w:ind w:left="2910" w:hanging="360"/>
      </w:pPr>
      <w:rPr>
        <w:rFonts w:ascii="Courier New" w:hAnsi="Courier New" w:cs="Courier New" w:hint="default"/>
      </w:rPr>
    </w:lvl>
    <w:lvl w:ilvl="2" w:tplc="04130005" w:tentative="1">
      <w:start w:val="1"/>
      <w:numFmt w:val="bullet"/>
      <w:lvlText w:val=""/>
      <w:lvlJc w:val="left"/>
      <w:pPr>
        <w:ind w:left="3630" w:hanging="360"/>
      </w:pPr>
      <w:rPr>
        <w:rFonts w:ascii="Wingdings" w:hAnsi="Wingdings" w:hint="default"/>
      </w:rPr>
    </w:lvl>
    <w:lvl w:ilvl="3" w:tplc="04130001" w:tentative="1">
      <w:start w:val="1"/>
      <w:numFmt w:val="bullet"/>
      <w:lvlText w:val=""/>
      <w:lvlJc w:val="left"/>
      <w:pPr>
        <w:ind w:left="4350" w:hanging="360"/>
      </w:pPr>
      <w:rPr>
        <w:rFonts w:ascii="Symbol" w:hAnsi="Symbol" w:hint="default"/>
      </w:rPr>
    </w:lvl>
    <w:lvl w:ilvl="4" w:tplc="04130003" w:tentative="1">
      <w:start w:val="1"/>
      <w:numFmt w:val="bullet"/>
      <w:lvlText w:val="o"/>
      <w:lvlJc w:val="left"/>
      <w:pPr>
        <w:ind w:left="5070" w:hanging="360"/>
      </w:pPr>
      <w:rPr>
        <w:rFonts w:ascii="Courier New" w:hAnsi="Courier New" w:cs="Courier New" w:hint="default"/>
      </w:rPr>
    </w:lvl>
    <w:lvl w:ilvl="5" w:tplc="04130005" w:tentative="1">
      <w:start w:val="1"/>
      <w:numFmt w:val="bullet"/>
      <w:lvlText w:val=""/>
      <w:lvlJc w:val="left"/>
      <w:pPr>
        <w:ind w:left="5790" w:hanging="360"/>
      </w:pPr>
      <w:rPr>
        <w:rFonts w:ascii="Wingdings" w:hAnsi="Wingdings" w:hint="default"/>
      </w:rPr>
    </w:lvl>
    <w:lvl w:ilvl="6" w:tplc="04130001" w:tentative="1">
      <w:start w:val="1"/>
      <w:numFmt w:val="bullet"/>
      <w:lvlText w:val=""/>
      <w:lvlJc w:val="left"/>
      <w:pPr>
        <w:ind w:left="6510" w:hanging="360"/>
      </w:pPr>
      <w:rPr>
        <w:rFonts w:ascii="Symbol" w:hAnsi="Symbol" w:hint="default"/>
      </w:rPr>
    </w:lvl>
    <w:lvl w:ilvl="7" w:tplc="04130003" w:tentative="1">
      <w:start w:val="1"/>
      <w:numFmt w:val="bullet"/>
      <w:lvlText w:val="o"/>
      <w:lvlJc w:val="left"/>
      <w:pPr>
        <w:ind w:left="7230" w:hanging="360"/>
      </w:pPr>
      <w:rPr>
        <w:rFonts w:ascii="Courier New" w:hAnsi="Courier New" w:cs="Courier New" w:hint="default"/>
      </w:rPr>
    </w:lvl>
    <w:lvl w:ilvl="8" w:tplc="04130005" w:tentative="1">
      <w:start w:val="1"/>
      <w:numFmt w:val="bullet"/>
      <w:lvlText w:val=""/>
      <w:lvlJc w:val="left"/>
      <w:pPr>
        <w:ind w:left="7950" w:hanging="360"/>
      </w:pPr>
      <w:rPr>
        <w:rFonts w:ascii="Wingdings" w:hAnsi="Wingdings" w:hint="default"/>
      </w:rPr>
    </w:lvl>
  </w:abstractNum>
  <w:abstractNum w:abstractNumId="6" w15:restartNumberingAfterBreak="0">
    <w:nsid w:val="75271A0A"/>
    <w:multiLevelType w:val="hybridMultilevel"/>
    <w:tmpl w:val="55E821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E24027"/>
    <w:multiLevelType w:val="hybridMultilevel"/>
    <w:tmpl w:val="D26AA3A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3139999">
    <w:abstractNumId w:val="0"/>
  </w:num>
  <w:num w:numId="2" w16cid:durableId="1028870721">
    <w:abstractNumId w:val="4"/>
  </w:num>
  <w:num w:numId="3" w16cid:durableId="1602450555">
    <w:abstractNumId w:val="6"/>
  </w:num>
  <w:num w:numId="4" w16cid:durableId="1550728584">
    <w:abstractNumId w:val="2"/>
  </w:num>
  <w:num w:numId="5" w16cid:durableId="1320380305">
    <w:abstractNumId w:val="5"/>
  </w:num>
  <w:num w:numId="6" w16cid:durableId="728723299">
    <w:abstractNumId w:val="7"/>
  </w:num>
  <w:num w:numId="7" w16cid:durableId="356581430">
    <w:abstractNumId w:val="3"/>
  </w:num>
  <w:num w:numId="8" w16cid:durableId="1574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FB"/>
    <w:rsid w:val="002654FB"/>
    <w:rsid w:val="00640F7B"/>
    <w:rsid w:val="00A32BC9"/>
    <w:rsid w:val="00C258AB"/>
    <w:rsid w:val="00C777BF"/>
    <w:rsid w:val="00F72EE3"/>
    <w:rsid w:val="00FC7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8A0E"/>
  <w15:chartTrackingRefBased/>
  <w15:docId w15:val="{E8BDF7DD-DC75-462F-A05A-C663FACC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654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54FB"/>
    <w:rPr>
      <w:rFonts w:ascii="Times New Roman" w:eastAsia="Times New Roman" w:hAnsi="Times New Roman" w:cs="Times New Roman"/>
      <w:b/>
      <w:bCs/>
      <w:kern w:val="36"/>
      <w:sz w:val="48"/>
      <w:szCs w:val="48"/>
      <w:lang w:eastAsia="nl-NL"/>
      <w14:ligatures w14:val="none"/>
    </w:rPr>
  </w:style>
  <w:style w:type="paragraph" w:styleId="Lijstalinea">
    <w:name w:val="List Paragraph"/>
    <w:basedOn w:val="Standaard"/>
    <w:uiPriority w:val="34"/>
    <w:qFormat/>
    <w:rsid w:val="00265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1029</Words>
  <Characters>5660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en Lea Vermeeren</dc:creator>
  <cp:keywords/>
  <dc:description/>
  <cp:lastModifiedBy>Frans en Lea Vermeeren</cp:lastModifiedBy>
  <cp:revision>1</cp:revision>
  <dcterms:created xsi:type="dcterms:W3CDTF">2024-01-20T12:15:00Z</dcterms:created>
  <dcterms:modified xsi:type="dcterms:W3CDTF">2024-01-20T17:26:00Z</dcterms:modified>
</cp:coreProperties>
</file>